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6E9F" w14:textId="77777777" w:rsidR="0052501E" w:rsidRPr="002D055C" w:rsidRDefault="0052501E" w:rsidP="0052501E">
      <w:pPr>
        <w:rPr>
          <w:rFonts w:ascii="Times New Roman" w:hAnsi="Times New Roman"/>
        </w:rPr>
        <w:sectPr w:rsidR="0052501E" w:rsidRPr="002D055C" w:rsidSect="00E06138">
          <w:footerReference w:type="default" r:id="rId8"/>
          <w:footerReference w:type="first" r:id="rId9"/>
          <w:pgSz w:w="12240" w:h="15840"/>
          <w:pgMar w:top="1440" w:right="1440" w:bottom="1440" w:left="1440" w:header="720" w:footer="720" w:gutter="0"/>
          <w:cols w:space="720"/>
          <w:titlePg/>
          <w:docGrid w:linePitch="360"/>
        </w:sectPr>
      </w:pPr>
    </w:p>
    <w:p w14:paraId="17C3CA63" w14:textId="77777777" w:rsidR="00A17D96" w:rsidRPr="002D055C" w:rsidRDefault="00A17D96" w:rsidP="00A17D96">
      <w:pPr>
        <w:rPr>
          <w:rFonts w:ascii="Times New Roman" w:hAnsi="Times New Roman"/>
          <w:bCs w:val="0"/>
        </w:rPr>
      </w:pPr>
      <w:r w:rsidRPr="002D055C">
        <w:rPr>
          <w:rFonts w:ascii="Times New Roman" w:hAnsi="Times New Roman"/>
          <w:bCs w:val="0"/>
        </w:rPr>
        <w:t xml:space="preserve">June </w:t>
      </w:r>
      <w:proofErr w:type="gramStart"/>
      <w:r w:rsidRPr="002D055C">
        <w:rPr>
          <w:rFonts w:ascii="Times New Roman" w:hAnsi="Times New Roman"/>
          <w:bCs w:val="0"/>
          <w:highlight w:val="yellow"/>
        </w:rPr>
        <w:t>XX</w:t>
      </w:r>
      <w:proofErr w:type="gramEnd"/>
      <w:r w:rsidRPr="002D055C">
        <w:rPr>
          <w:rFonts w:ascii="Times New Roman" w:hAnsi="Times New Roman"/>
          <w:bCs w:val="0"/>
        </w:rPr>
        <w:t xml:space="preserve"> 2020</w:t>
      </w:r>
    </w:p>
    <w:p w14:paraId="4D37FC4D" w14:textId="01C467BD" w:rsidR="00A17D96" w:rsidRPr="002D055C" w:rsidRDefault="00A17D96" w:rsidP="00A17D96">
      <w:pPr>
        <w:rPr>
          <w:rFonts w:ascii="Times New Roman" w:hAnsi="Times New Roman"/>
          <w:bCs w:val="0"/>
        </w:rPr>
      </w:pPr>
    </w:p>
    <w:p w14:paraId="66CC79AD" w14:textId="77777777" w:rsidR="001459F6" w:rsidRPr="002D055C" w:rsidRDefault="001459F6" w:rsidP="00A17D96">
      <w:pPr>
        <w:rPr>
          <w:rFonts w:ascii="Times New Roman" w:hAnsi="Times New Roman"/>
          <w:bCs w:val="0"/>
        </w:rPr>
      </w:pPr>
    </w:p>
    <w:p w14:paraId="77D6E29F" w14:textId="77777777" w:rsidR="00A17D96" w:rsidRPr="002D055C" w:rsidRDefault="00A17D96" w:rsidP="00A17D96">
      <w:pPr>
        <w:rPr>
          <w:rFonts w:ascii="Times New Roman" w:hAnsi="Times New Roman"/>
          <w:bCs w:val="0"/>
        </w:rPr>
      </w:pPr>
      <w:r w:rsidRPr="002D055C">
        <w:rPr>
          <w:rFonts w:ascii="Times New Roman" w:hAnsi="Times New Roman"/>
          <w:bCs w:val="0"/>
        </w:rPr>
        <w:t>The Honorable Robert Wilkie</w:t>
      </w:r>
    </w:p>
    <w:p w14:paraId="09C0E700" w14:textId="77777777" w:rsidR="00A17D96" w:rsidRPr="002D055C" w:rsidRDefault="00A17D96" w:rsidP="00A17D96">
      <w:pPr>
        <w:rPr>
          <w:rFonts w:ascii="Times New Roman" w:hAnsi="Times New Roman"/>
          <w:bCs w:val="0"/>
        </w:rPr>
      </w:pPr>
      <w:r w:rsidRPr="002D055C">
        <w:rPr>
          <w:rFonts w:ascii="Times New Roman" w:hAnsi="Times New Roman"/>
          <w:bCs w:val="0"/>
        </w:rPr>
        <w:t xml:space="preserve">Secretary </w:t>
      </w:r>
    </w:p>
    <w:p w14:paraId="486A9A94" w14:textId="5C09B317" w:rsidR="00A17D96" w:rsidRPr="002D055C" w:rsidRDefault="00A17D96" w:rsidP="00A17D96">
      <w:pPr>
        <w:rPr>
          <w:rFonts w:ascii="Times New Roman" w:hAnsi="Times New Roman"/>
          <w:bCs w:val="0"/>
        </w:rPr>
      </w:pPr>
      <w:r w:rsidRPr="002D055C">
        <w:rPr>
          <w:rFonts w:ascii="Times New Roman" w:hAnsi="Times New Roman"/>
          <w:bCs w:val="0"/>
        </w:rPr>
        <w:t>U.S. Department of Veterans Affairs</w:t>
      </w:r>
      <w:r w:rsidR="001754D7" w:rsidRPr="002D055C">
        <w:rPr>
          <w:rFonts w:ascii="Times New Roman" w:hAnsi="Times New Roman"/>
          <w:bCs w:val="0"/>
        </w:rPr>
        <w:t xml:space="preserve"> (VA)</w:t>
      </w:r>
    </w:p>
    <w:p w14:paraId="517492A3" w14:textId="77777777" w:rsidR="00A17D96" w:rsidRPr="002D055C" w:rsidRDefault="00A17D96" w:rsidP="00A17D96">
      <w:pPr>
        <w:rPr>
          <w:rFonts w:ascii="Times New Roman" w:hAnsi="Times New Roman"/>
          <w:bCs w:val="0"/>
        </w:rPr>
      </w:pPr>
      <w:r w:rsidRPr="002D055C">
        <w:rPr>
          <w:rFonts w:ascii="Times New Roman" w:hAnsi="Times New Roman"/>
          <w:bCs w:val="0"/>
        </w:rPr>
        <w:t xml:space="preserve">810 Vermont Ave., NW </w:t>
      </w:r>
    </w:p>
    <w:p w14:paraId="21438A5A" w14:textId="70E7A99A" w:rsidR="00A17D96" w:rsidRPr="002D055C" w:rsidRDefault="00A17D96" w:rsidP="00A17D96">
      <w:pPr>
        <w:rPr>
          <w:rFonts w:ascii="Times New Roman" w:hAnsi="Times New Roman"/>
          <w:bCs w:val="0"/>
        </w:rPr>
      </w:pPr>
      <w:r w:rsidRPr="002D055C">
        <w:rPr>
          <w:rFonts w:ascii="Times New Roman" w:hAnsi="Times New Roman"/>
          <w:bCs w:val="0"/>
        </w:rPr>
        <w:t>Washington, DC 20420</w:t>
      </w:r>
    </w:p>
    <w:p w14:paraId="026271F6" w14:textId="4D64CEA5" w:rsidR="00A17D96" w:rsidRPr="002D055C" w:rsidRDefault="00A17D96" w:rsidP="00A17D96">
      <w:pPr>
        <w:rPr>
          <w:rFonts w:ascii="Times New Roman" w:hAnsi="Times New Roman"/>
          <w:bCs w:val="0"/>
        </w:rPr>
      </w:pPr>
    </w:p>
    <w:p w14:paraId="2F5876E5" w14:textId="77777777" w:rsidR="001459F6" w:rsidRPr="002D055C" w:rsidRDefault="001459F6" w:rsidP="00A17D96">
      <w:pPr>
        <w:rPr>
          <w:rFonts w:ascii="Times New Roman" w:hAnsi="Times New Roman"/>
          <w:bCs w:val="0"/>
        </w:rPr>
      </w:pPr>
    </w:p>
    <w:p w14:paraId="371F5971" w14:textId="77777777" w:rsidR="00A17D96" w:rsidRPr="002D055C" w:rsidRDefault="00A17D96" w:rsidP="00A17D96">
      <w:pPr>
        <w:rPr>
          <w:rFonts w:ascii="Times New Roman" w:hAnsi="Times New Roman"/>
          <w:bCs w:val="0"/>
        </w:rPr>
      </w:pPr>
      <w:r w:rsidRPr="002D055C">
        <w:rPr>
          <w:rFonts w:ascii="Times New Roman" w:hAnsi="Times New Roman"/>
          <w:bCs w:val="0"/>
        </w:rPr>
        <w:t xml:space="preserve">Dear </w:t>
      </w:r>
      <w:proofErr w:type="gramStart"/>
      <w:r w:rsidRPr="002D055C">
        <w:rPr>
          <w:rFonts w:ascii="Times New Roman" w:hAnsi="Times New Roman"/>
          <w:bCs w:val="0"/>
        </w:rPr>
        <w:t>Secretary</w:t>
      </w:r>
      <w:proofErr w:type="gramEnd"/>
      <w:r w:rsidRPr="002D055C">
        <w:rPr>
          <w:rFonts w:ascii="Times New Roman" w:hAnsi="Times New Roman"/>
          <w:bCs w:val="0"/>
        </w:rPr>
        <w:t xml:space="preserve"> Wilkie:</w:t>
      </w:r>
    </w:p>
    <w:p w14:paraId="6B263D2E" w14:textId="354F30F5" w:rsidR="00860BF1" w:rsidRPr="002D055C" w:rsidRDefault="00860BF1" w:rsidP="00860BF1">
      <w:pPr>
        <w:pStyle w:val="NormalWeb"/>
      </w:pPr>
      <w:r w:rsidRPr="002D055C">
        <w:t xml:space="preserve">On behalf of the more than </w:t>
      </w:r>
      <w:r w:rsidR="00F77FD1" w:rsidRPr="002D055C">
        <w:t xml:space="preserve">151,000 </w:t>
      </w:r>
      <w:r w:rsidRPr="002D055C">
        <w:t xml:space="preserve">physicians and medical students represented by the </w:t>
      </w:r>
      <w:r w:rsidR="00A17D96" w:rsidRPr="002D055C">
        <w:t>American Osteopathic Association and the undersigned osteopathic state and specialty organizations,</w:t>
      </w:r>
      <w:r w:rsidRPr="002D055C">
        <w:t xml:space="preserve"> we write to express our </w:t>
      </w:r>
      <w:r w:rsidR="00A17D96" w:rsidRPr="002D055C">
        <w:t>serious concerns</w:t>
      </w:r>
      <w:r w:rsidR="0045269B" w:rsidRPr="002D055C">
        <w:t xml:space="preserve"> </w:t>
      </w:r>
      <w:r w:rsidR="00A17D96" w:rsidRPr="002D055C">
        <w:t xml:space="preserve">with the Health Care Professional Practice in VA </w:t>
      </w:r>
      <w:hyperlink r:id="rId10" w:history="1">
        <w:r w:rsidR="00A17D96" w:rsidRPr="002D055C">
          <w:rPr>
            <w:rStyle w:val="Hyperlink"/>
          </w:rPr>
          <w:t>Memorandum</w:t>
        </w:r>
      </w:hyperlink>
      <w:r w:rsidR="00A17D96" w:rsidRPr="002D055C">
        <w:t xml:space="preserve"> (Memorandum) issued by the Office of the Under Secretary of Health on April 21, 2020, and </w:t>
      </w:r>
      <w:r w:rsidR="001754D7" w:rsidRPr="002D055C">
        <w:t xml:space="preserve">the </w:t>
      </w:r>
      <w:r w:rsidR="00A17D96" w:rsidRPr="002D055C">
        <w:t>underlying Directive 1899 (Directive).</w:t>
      </w:r>
      <w:r w:rsidR="001754D7" w:rsidRPr="002D055C">
        <w:t xml:space="preserve"> T</w:t>
      </w:r>
      <w:r w:rsidR="008D32E2" w:rsidRPr="002D055C">
        <w:t>ogether, t</w:t>
      </w:r>
      <w:r w:rsidR="001754D7" w:rsidRPr="002D055C">
        <w:t>hese documents preempt state scope of practice laws designed to protect the health and safety of the public by ensuring that patients are seen by appropriately qualified medical professionals</w:t>
      </w:r>
      <w:r w:rsidR="0084201B" w:rsidRPr="002D055C">
        <w:t>. T</w:t>
      </w:r>
      <w:r w:rsidR="008D32E2" w:rsidRPr="002D055C">
        <w:t>herefore</w:t>
      </w:r>
      <w:r w:rsidR="000952B5" w:rsidRPr="002D055C">
        <w:t>, we</w:t>
      </w:r>
      <w:r w:rsidR="001754D7" w:rsidRPr="002D055C">
        <w:t xml:space="preserve"> urge you to amend the Directive </w:t>
      </w:r>
      <w:r w:rsidR="006243A1" w:rsidRPr="002D055C">
        <w:t xml:space="preserve">to defer to state scope of practice laws </w:t>
      </w:r>
      <w:r w:rsidR="001754D7" w:rsidRPr="002D055C">
        <w:t xml:space="preserve">and rescind the Memorandum </w:t>
      </w:r>
      <w:r w:rsidR="006243A1" w:rsidRPr="002D055C">
        <w:t>as it relates</w:t>
      </w:r>
      <w:r w:rsidR="000952B5" w:rsidRPr="002D055C">
        <w:t xml:space="preserve"> to independent practice by Certified Registered Nurse Anesthetists (CRNAs)</w:t>
      </w:r>
      <w:r w:rsidR="001754D7" w:rsidRPr="002D055C">
        <w:t xml:space="preserve">.  </w:t>
      </w:r>
    </w:p>
    <w:p w14:paraId="37B6E110" w14:textId="525C4A32" w:rsidR="001754D7" w:rsidRPr="002D055C" w:rsidRDefault="001754D7" w:rsidP="00713427">
      <w:pPr>
        <w:pStyle w:val="NormalWeb"/>
        <w:rPr>
          <w:color w:val="000000"/>
        </w:rPr>
      </w:pPr>
      <w:r w:rsidRPr="002D055C">
        <w:rPr>
          <w:color w:val="000000"/>
        </w:rPr>
        <w:t xml:space="preserve">Directive 1899 </w:t>
      </w:r>
      <w:r w:rsidR="008D32E2" w:rsidRPr="002D055C">
        <w:rPr>
          <w:color w:val="000000"/>
        </w:rPr>
        <w:t>reconfirms</w:t>
      </w:r>
      <w:r w:rsidRPr="002D055C">
        <w:rPr>
          <w:color w:val="000000"/>
        </w:rPr>
        <w:t xml:space="preserve"> the VA’s policy </w:t>
      </w:r>
      <w:r w:rsidR="00D455EB" w:rsidRPr="002D055C">
        <w:rPr>
          <w:color w:val="000000"/>
        </w:rPr>
        <w:t>allowing VA health care professionals to provide care across state lines</w:t>
      </w:r>
      <w:r w:rsidR="003E154D" w:rsidRPr="002D055C">
        <w:rPr>
          <w:color w:val="000000"/>
        </w:rPr>
        <w:t xml:space="preserve">; it </w:t>
      </w:r>
      <w:r w:rsidR="001A4693" w:rsidRPr="002D055C">
        <w:rPr>
          <w:color w:val="000000"/>
        </w:rPr>
        <w:t xml:space="preserve">also </w:t>
      </w:r>
      <w:proofErr w:type="gramStart"/>
      <w:r w:rsidR="001A4693" w:rsidRPr="002D055C">
        <w:rPr>
          <w:color w:val="000000"/>
        </w:rPr>
        <w:t>creates</w:t>
      </w:r>
      <w:r w:rsidR="00D455EB" w:rsidRPr="002D055C">
        <w:rPr>
          <w:color w:val="000000"/>
        </w:rPr>
        <w:t xml:space="preserve"> a new policy to allow these professionals to practice to the fullest extent</w:t>
      </w:r>
      <w:proofErr w:type="gramEnd"/>
      <w:r w:rsidR="00D455EB" w:rsidRPr="002D055C">
        <w:rPr>
          <w:color w:val="000000"/>
        </w:rPr>
        <w:t xml:space="preserve"> of their license, registration or certification. </w:t>
      </w:r>
      <w:r w:rsidR="00A71757" w:rsidRPr="002D055C">
        <w:rPr>
          <w:color w:val="000000"/>
        </w:rPr>
        <w:t>Together</w:t>
      </w:r>
      <w:r w:rsidR="008D32E2" w:rsidRPr="002D055C">
        <w:rPr>
          <w:color w:val="000000"/>
        </w:rPr>
        <w:t>,</w:t>
      </w:r>
      <w:r w:rsidR="00D455EB" w:rsidRPr="002D055C">
        <w:rPr>
          <w:color w:val="000000"/>
        </w:rPr>
        <w:t xml:space="preserve"> these policies circumvent</w:t>
      </w:r>
      <w:r w:rsidR="008D32E2" w:rsidRPr="002D055C">
        <w:rPr>
          <w:color w:val="000000"/>
        </w:rPr>
        <w:t xml:space="preserve"> state</w:t>
      </w:r>
      <w:r w:rsidR="00D455EB" w:rsidRPr="002D055C">
        <w:rPr>
          <w:color w:val="000000"/>
        </w:rPr>
        <w:t xml:space="preserve"> laws</w:t>
      </w:r>
      <w:r w:rsidR="006243A1" w:rsidRPr="002D055C">
        <w:rPr>
          <w:color w:val="000000"/>
        </w:rPr>
        <w:t xml:space="preserve"> that</w:t>
      </w:r>
      <w:r w:rsidR="00D455EB" w:rsidRPr="002D055C">
        <w:rPr>
          <w:color w:val="000000"/>
        </w:rPr>
        <w:t xml:space="preserve"> requir</w:t>
      </w:r>
      <w:r w:rsidR="006243A1" w:rsidRPr="002D055C">
        <w:rPr>
          <w:color w:val="000000"/>
        </w:rPr>
        <w:t>e</w:t>
      </w:r>
      <w:r w:rsidR="00D455EB" w:rsidRPr="002D055C">
        <w:rPr>
          <w:color w:val="000000"/>
        </w:rPr>
        <w:t xml:space="preserve"> physician supervision of, or collaboration with, the 32 health care professionals covered by the Directive</w:t>
      </w:r>
      <w:r w:rsidR="001A4693" w:rsidRPr="002D055C">
        <w:rPr>
          <w:color w:val="000000"/>
        </w:rPr>
        <w:t>, and undermine patient safety</w:t>
      </w:r>
      <w:r w:rsidR="00D455EB" w:rsidRPr="002D055C">
        <w:rPr>
          <w:color w:val="000000"/>
        </w:rPr>
        <w:t xml:space="preserve">. </w:t>
      </w:r>
      <w:r w:rsidR="001A4693" w:rsidRPr="002D055C">
        <w:rPr>
          <w:color w:val="000000"/>
        </w:rPr>
        <w:t>T</w:t>
      </w:r>
      <w:r w:rsidR="000952B5" w:rsidRPr="002D055C">
        <w:rPr>
          <w:color w:val="000000"/>
        </w:rPr>
        <w:t xml:space="preserve">he Memorandum </w:t>
      </w:r>
      <w:r w:rsidR="001A4693" w:rsidRPr="002D055C">
        <w:rPr>
          <w:color w:val="000000"/>
        </w:rPr>
        <w:t xml:space="preserve">also </w:t>
      </w:r>
      <w:r w:rsidR="000952B5" w:rsidRPr="002D055C">
        <w:rPr>
          <w:color w:val="000000"/>
        </w:rPr>
        <w:t xml:space="preserve">encourages all VA medical facilities to allow CRNAs to practice without physician oversight during the national health emergency. Both </w:t>
      </w:r>
      <w:r w:rsidR="006243A1" w:rsidRPr="002D055C">
        <w:rPr>
          <w:color w:val="000000"/>
        </w:rPr>
        <w:t>the Directive and the Memorandum</w:t>
      </w:r>
      <w:r w:rsidR="000952B5" w:rsidRPr="002D055C">
        <w:rPr>
          <w:color w:val="000000"/>
        </w:rPr>
        <w:t xml:space="preserve"> ignore the collective nature of successful efforts by health care professionals to fight the </w:t>
      </w:r>
      <w:r w:rsidR="00A71757" w:rsidRPr="002D055C">
        <w:rPr>
          <w:color w:val="000000"/>
        </w:rPr>
        <w:t>pandemic and</w:t>
      </w:r>
      <w:r w:rsidR="000952B5" w:rsidRPr="002D055C">
        <w:rPr>
          <w:color w:val="000000"/>
        </w:rPr>
        <w:t xml:space="preserve"> create silos which hamper coordinated treatment and transparency for patients, who overwhelmingly prefer physician involvement </w:t>
      </w:r>
      <w:r w:rsidR="00A0013B" w:rsidRPr="002D055C">
        <w:rPr>
          <w:color w:val="000000"/>
        </w:rPr>
        <w:t>in their care.</w:t>
      </w:r>
      <w:r w:rsidR="006243A1" w:rsidRPr="002D055C">
        <w:rPr>
          <w:rStyle w:val="FootnoteReference"/>
          <w:color w:val="000000"/>
        </w:rPr>
        <w:footnoteReference w:id="1"/>
      </w:r>
      <w:r w:rsidR="00A0013B" w:rsidRPr="002D055C">
        <w:rPr>
          <w:color w:val="000000"/>
        </w:rPr>
        <w:t xml:space="preserve"> </w:t>
      </w:r>
    </w:p>
    <w:p w14:paraId="4B82E6E9" w14:textId="0E64587C" w:rsidR="008D32E2" w:rsidRPr="002D055C" w:rsidRDefault="00A71757" w:rsidP="008D32E2">
      <w:pPr>
        <w:autoSpaceDE w:val="0"/>
        <w:autoSpaceDN w:val="0"/>
        <w:adjustRightInd w:val="0"/>
        <w:rPr>
          <w:rFonts w:ascii="Times New Roman" w:hAnsi="Times New Roman"/>
          <w:bCs w:val="0"/>
        </w:rPr>
      </w:pPr>
      <w:r w:rsidRPr="002D055C">
        <w:rPr>
          <w:rFonts w:ascii="Times New Roman" w:hAnsi="Times New Roman"/>
        </w:rPr>
        <w:t>Our</w:t>
      </w:r>
      <w:r w:rsidR="00692319" w:rsidRPr="002D055C">
        <w:rPr>
          <w:rFonts w:ascii="Times New Roman" w:hAnsi="Times New Roman"/>
        </w:rPr>
        <w:t xml:space="preserve"> organizations</w:t>
      </w:r>
      <w:r w:rsidR="008D32E2" w:rsidRPr="002D055C">
        <w:rPr>
          <w:rFonts w:ascii="Times New Roman" w:hAnsi="Times New Roman"/>
        </w:rPr>
        <w:t xml:space="preserve"> support the “team” approach to medical care because the physician-led medical model ensures that professionals with complete medical education and training are adequately involved in patient care.</w:t>
      </w:r>
      <w:r w:rsidR="008D32E2" w:rsidRPr="002D055C">
        <w:rPr>
          <w:rFonts w:ascii="Times New Roman" w:hAnsi="Times New Roman"/>
          <w:bCs w:val="0"/>
        </w:rPr>
        <w:t xml:space="preserve"> </w:t>
      </w:r>
      <w:r w:rsidRPr="002D055C">
        <w:rPr>
          <w:rFonts w:ascii="Times New Roman" w:hAnsi="Times New Roman"/>
          <w:bCs w:val="0"/>
        </w:rPr>
        <w:t>All p</w:t>
      </w:r>
      <w:r w:rsidR="008D32E2" w:rsidRPr="002D055C">
        <w:rPr>
          <w:rFonts w:ascii="Times New Roman" w:hAnsi="Times New Roman"/>
          <w:bCs w:val="0"/>
        </w:rPr>
        <w:t xml:space="preserve">hysicians </w:t>
      </w:r>
      <w:r w:rsidRPr="002D055C">
        <w:rPr>
          <w:rFonts w:ascii="Times New Roman" w:hAnsi="Times New Roman"/>
          <w:bCs w:val="0"/>
        </w:rPr>
        <w:t xml:space="preserve">in </w:t>
      </w:r>
      <w:r w:rsidR="008D32E2" w:rsidRPr="002D055C">
        <w:rPr>
          <w:rFonts w:ascii="Times New Roman" w:hAnsi="Times New Roman"/>
          <w:bCs w:val="0"/>
        </w:rPr>
        <w:t xml:space="preserve">the United States must meet the same education, training and testing requirements and practice in supervised environments that afford progressively greater autonomy before ultimately becoming eligible to treat patients on their own. These requirements ensure that patients are treated safely and with the same standard of care regardless of their location or </w:t>
      </w:r>
      <w:r w:rsidR="00A0013B" w:rsidRPr="002D055C">
        <w:rPr>
          <w:rFonts w:ascii="Times New Roman" w:hAnsi="Times New Roman"/>
          <w:bCs w:val="0"/>
        </w:rPr>
        <w:t>insurance coverage</w:t>
      </w:r>
      <w:r w:rsidR="008D32E2" w:rsidRPr="002D055C">
        <w:rPr>
          <w:rFonts w:ascii="Times New Roman" w:hAnsi="Times New Roman"/>
          <w:bCs w:val="0"/>
        </w:rPr>
        <w:t xml:space="preserve">. They also uniquely prepare physicians to </w:t>
      </w:r>
      <w:r w:rsidR="008D32E2" w:rsidRPr="002D055C">
        <w:rPr>
          <w:rFonts w:ascii="Times New Roman" w:hAnsi="Times New Roman"/>
          <w:bCs w:val="0"/>
        </w:rPr>
        <w:lastRenderedPageBreak/>
        <w:t>understand and recognize the subtle differences between many minor ailments</w:t>
      </w:r>
      <w:r w:rsidR="00A0013B" w:rsidRPr="002D055C">
        <w:rPr>
          <w:rFonts w:ascii="Times New Roman" w:hAnsi="Times New Roman"/>
          <w:bCs w:val="0"/>
        </w:rPr>
        <w:t xml:space="preserve"> (i.e. common cold, indigestion) </w:t>
      </w:r>
      <w:r w:rsidR="008D32E2" w:rsidRPr="002D055C">
        <w:rPr>
          <w:rFonts w:ascii="Times New Roman" w:hAnsi="Times New Roman"/>
          <w:bCs w:val="0"/>
        </w:rPr>
        <w:t>that share similar symptoms</w:t>
      </w:r>
      <w:r w:rsidR="00A0013B" w:rsidRPr="002D055C">
        <w:rPr>
          <w:rFonts w:ascii="Times New Roman" w:hAnsi="Times New Roman"/>
          <w:bCs w:val="0"/>
        </w:rPr>
        <w:t xml:space="preserve"> with serious ones (i.e. pneumonia, heart attack)</w:t>
      </w:r>
      <w:r w:rsidR="008D32E2" w:rsidRPr="002D055C">
        <w:rPr>
          <w:rFonts w:ascii="Times New Roman" w:hAnsi="Times New Roman"/>
          <w:bCs w:val="0"/>
        </w:rPr>
        <w:t xml:space="preserve">, </w:t>
      </w:r>
      <w:r w:rsidR="00A0013B" w:rsidRPr="002D055C">
        <w:rPr>
          <w:rFonts w:ascii="Times New Roman" w:hAnsi="Times New Roman"/>
          <w:bCs w:val="0"/>
        </w:rPr>
        <w:t xml:space="preserve">which is especially important when treating an emerging, complex disease like </w:t>
      </w:r>
      <w:r w:rsidR="003169A4" w:rsidRPr="002D055C">
        <w:rPr>
          <w:rFonts w:ascii="Times New Roman" w:hAnsi="Times New Roman"/>
          <w:bCs w:val="0"/>
        </w:rPr>
        <w:t xml:space="preserve">the </w:t>
      </w:r>
      <w:r w:rsidR="00D84169" w:rsidRPr="002D055C">
        <w:rPr>
          <w:rFonts w:ascii="Times New Roman" w:hAnsi="Times New Roman"/>
          <w:bCs w:val="0"/>
        </w:rPr>
        <w:t>n</w:t>
      </w:r>
      <w:r w:rsidR="003169A4" w:rsidRPr="002D055C">
        <w:rPr>
          <w:rFonts w:ascii="Times New Roman" w:hAnsi="Times New Roman"/>
          <w:bCs w:val="0"/>
        </w:rPr>
        <w:t>ovel Coronavirus (COVID-19)</w:t>
      </w:r>
      <w:r w:rsidR="00A0013B" w:rsidRPr="002D055C">
        <w:rPr>
          <w:rFonts w:ascii="Times New Roman" w:hAnsi="Times New Roman"/>
          <w:bCs w:val="0"/>
        </w:rPr>
        <w:t xml:space="preserve">. </w:t>
      </w:r>
    </w:p>
    <w:p w14:paraId="77E147B1" w14:textId="3CA56BDD" w:rsidR="008D32E2" w:rsidRPr="002D055C" w:rsidRDefault="008D32E2" w:rsidP="008D32E2">
      <w:pPr>
        <w:spacing w:before="100" w:beforeAutospacing="1" w:after="100" w:afterAutospacing="1"/>
        <w:rPr>
          <w:rFonts w:ascii="Times New Roman" w:hAnsi="Times New Roman"/>
        </w:rPr>
      </w:pPr>
      <w:r w:rsidRPr="002D055C">
        <w:rPr>
          <w:rFonts w:ascii="Times New Roman" w:hAnsi="Times New Roman"/>
        </w:rPr>
        <w:t xml:space="preserve">While </w:t>
      </w:r>
      <w:r w:rsidR="00A0013B" w:rsidRPr="002D055C">
        <w:rPr>
          <w:rFonts w:ascii="Times New Roman" w:hAnsi="Times New Roman"/>
        </w:rPr>
        <w:t xml:space="preserve">we fully support </w:t>
      </w:r>
      <w:r w:rsidRPr="002D055C">
        <w:rPr>
          <w:rFonts w:ascii="Times New Roman" w:hAnsi="Times New Roman"/>
        </w:rPr>
        <w:t xml:space="preserve">the </w:t>
      </w:r>
      <w:r w:rsidR="00A0013B" w:rsidRPr="002D055C">
        <w:rPr>
          <w:rFonts w:ascii="Times New Roman" w:hAnsi="Times New Roman"/>
        </w:rPr>
        <w:t>VA’s</w:t>
      </w:r>
      <w:r w:rsidRPr="002D055C">
        <w:rPr>
          <w:rFonts w:ascii="Times New Roman" w:hAnsi="Times New Roman"/>
        </w:rPr>
        <w:t xml:space="preserve"> goal of increasing access to health care, we are concerned that granting </w:t>
      </w:r>
      <w:r w:rsidR="00A0013B" w:rsidRPr="002D055C">
        <w:rPr>
          <w:rFonts w:ascii="Times New Roman" w:hAnsi="Times New Roman"/>
        </w:rPr>
        <w:t xml:space="preserve">other health care professionals </w:t>
      </w:r>
      <w:r w:rsidRPr="002D055C">
        <w:rPr>
          <w:rFonts w:ascii="Times New Roman" w:hAnsi="Times New Roman"/>
        </w:rPr>
        <w:t xml:space="preserve">similar practice rights to physicians, without requiring </w:t>
      </w:r>
      <w:r w:rsidR="00A0013B" w:rsidRPr="002D055C">
        <w:rPr>
          <w:rFonts w:ascii="Times New Roman" w:hAnsi="Times New Roman"/>
        </w:rPr>
        <w:t xml:space="preserve">them to complete </w:t>
      </w:r>
      <w:r w:rsidRPr="002D055C">
        <w:rPr>
          <w:rFonts w:ascii="Times New Roman" w:hAnsi="Times New Roman"/>
        </w:rPr>
        <w:t xml:space="preserve">similar education, training and testing, could </w:t>
      </w:r>
      <w:r w:rsidR="00A0013B" w:rsidRPr="002D055C">
        <w:rPr>
          <w:rFonts w:ascii="Times New Roman" w:hAnsi="Times New Roman"/>
        </w:rPr>
        <w:t xml:space="preserve">create a two-tier health care system and dilute the safety standards that our profession is constantly trying to advance. </w:t>
      </w:r>
      <w:r w:rsidRPr="002D055C">
        <w:rPr>
          <w:rFonts w:ascii="Times New Roman" w:hAnsi="Times New Roman"/>
        </w:rPr>
        <w:t xml:space="preserve"> </w:t>
      </w:r>
    </w:p>
    <w:p w14:paraId="18884358" w14:textId="77777777" w:rsidR="008D32E2" w:rsidRPr="002D055C" w:rsidRDefault="008D32E2" w:rsidP="008D32E2">
      <w:pPr>
        <w:autoSpaceDE w:val="0"/>
        <w:autoSpaceDN w:val="0"/>
        <w:adjustRightInd w:val="0"/>
        <w:rPr>
          <w:rFonts w:ascii="Times New Roman" w:hAnsi="Times New Roman"/>
          <w:b/>
          <w:bCs w:val="0"/>
        </w:rPr>
      </w:pPr>
      <w:r w:rsidRPr="002D055C">
        <w:rPr>
          <w:rFonts w:ascii="Times New Roman" w:hAnsi="Times New Roman"/>
          <w:b/>
          <w:bCs w:val="0"/>
        </w:rPr>
        <w:t>The requirements for licensure as a DO or a medical doctor (MD) in the United States are substantially similar, and include:</w:t>
      </w:r>
    </w:p>
    <w:p w14:paraId="3E8C4C21" w14:textId="77777777" w:rsidR="008D32E2" w:rsidRPr="002D055C" w:rsidRDefault="008D32E2" w:rsidP="008D32E2">
      <w:pPr>
        <w:rPr>
          <w:rFonts w:ascii="Times New Roman" w:hAnsi="Times New Roman"/>
          <w:bCs w:val="0"/>
        </w:rPr>
      </w:pPr>
    </w:p>
    <w:p w14:paraId="27515A91" w14:textId="77777777" w:rsidR="008D32E2" w:rsidRPr="002D055C" w:rsidRDefault="008D32E2" w:rsidP="008D32E2">
      <w:pPr>
        <w:numPr>
          <w:ilvl w:val="0"/>
          <w:numId w:val="8"/>
        </w:numPr>
        <w:jc w:val="both"/>
        <w:rPr>
          <w:rFonts w:ascii="Times New Roman" w:hAnsi="Times New Roman"/>
          <w:b/>
          <w:bCs w:val="0"/>
        </w:rPr>
      </w:pPr>
      <w:r w:rsidRPr="002D055C">
        <w:rPr>
          <w:rFonts w:ascii="Times New Roman" w:hAnsi="Times New Roman"/>
          <w:b/>
        </w:rPr>
        <w:t xml:space="preserve">Four years of medical school, </w:t>
      </w:r>
      <w:r w:rsidRPr="002D055C">
        <w:rPr>
          <w:rFonts w:ascii="Times New Roman" w:hAnsi="Times New Roman"/>
        </w:rPr>
        <w:t>which includes</w:t>
      </w:r>
      <w:r w:rsidRPr="002D055C">
        <w:rPr>
          <w:rFonts w:ascii="Times New Roman" w:hAnsi="Times New Roman"/>
          <w:b/>
        </w:rPr>
        <w:t xml:space="preserve"> two years of didactic study </w:t>
      </w:r>
      <w:r w:rsidRPr="002D055C">
        <w:rPr>
          <w:rFonts w:ascii="Times New Roman" w:hAnsi="Times New Roman"/>
        </w:rPr>
        <w:t>totaling upwards of 750 lecture/practice learning hours just within the first two years,</w:t>
      </w:r>
      <w:r w:rsidRPr="002D055C">
        <w:rPr>
          <w:rFonts w:ascii="Times New Roman" w:hAnsi="Times New Roman"/>
          <w:b/>
        </w:rPr>
        <w:t xml:space="preserve"> plus two more years of clinical rotations </w:t>
      </w:r>
      <w:r w:rsidRPr="002D055C">
        <w:rPr>
          <w:rFonts w:ascii="Times New Roman" w:hAnsi="Times New Roman"/>
        </w:rPr>
        <w:t>done in community hospitals, major medical centers and doctors’ offices.</w:t>
      </w:r>
      <w:r w:rsidRPr="002D055C">
        <w:rPr>
          <w:rFonts w:ascii="Times New Roman" w:hAnsi="Times New Roman"/>
          <w:b/>
        </w:rPr>
        <w:t xml:space="preserve"> </w:t>
      </w:r>
    </w:p>
    <w:p w14:paraId="770C3893" w14:textId="77777777" w:rsidR="008D32E2" w:rsidRPr="002D055C" w:rsidRDefault="008D32E2" w:rsidP="008D32E2">
      <w:pPr>
        <w:numPr>
          <w:ilvl w:val="0"/>
          <w:numId w:val="8"/>
        </w:numPr>
        <w:jc w:val="both"/>
        <w:rPr>
          <w:rFonts w:ascii="Times New Roman" w:hAnsi="Times New Roman"/>
        </w:rPr>
      </w:pPr>
      <w:r w:rsidRPr="002D055C">
        <w:rPr>
          <w:rFonts w:ascii="Times New Roman" w:hAnsi="Times New Roman"/>
        </w:rPr>
        <w:t xml:space="preserve">Physicians also complete a </w:t>
      </w:r>
      <w:r w:rsidRPr="002D055C">
        <w:rPr>
          <w:rFonts w:ascii="Times New Roman" w:hAnsi="Times New Roman"/>
          <w:b/>
        </w:rPr>
        <w:t>comprehensive, three-part licensing examination</w:t>
      </w:r>
      <w:r w:rsidRPr="002D055C">
        <w:rPr>
          <w:rFonts w:ascii="Times New Roman" w:hAnsi="Times New Roman"/>
        </w:rPr>
        <w:t xml:space="preserve"> series designed to test their knowledge and ability to safely deliver care to patients before they are granted a license to independently practice medicine.</w:t>
      </w:r>
    </w:p>
    <w:p w14:paraId="2AE35FAE" w14:textId="77777777" w:rsidR="008D32E2" w:rsidRPr="002D055C" w:rsidRDefault="008D32E2" w:rsidP="008D32E2">
      <w:pPr>
        <w:numPr>
          <w:ilvl w:val="0"/>
          <w:numId w:val="8"/>
        </w:numPr>
        <w:jc w:val="both"/>
        <w:rPr>
          <w:rFonts w:ascii="Times New Roman" w:hAnsi="Times New Roman"/>
        </w:rPr>
      </w:pPr>
      <w:r w:rsidRPr="002D055C">
        <w:rPr>
          <w:rFonts w:ascii="Times New Roman" w:hAnsi="Times New Roman"/>
          <w:b/>
        </w:rPr>
        <w:t xml:space="preserve">12,000 to 16,000 hours of supervised postgraduate medical education </w:t>
      </w:r>
      <w:r w:rsidRPr="002D055C">
        <w:rPr>
          <w:rFonts w:ascii="Times New Roman" w:hAnsi="Times New Roman"/>
        </w:rPr>
        <w:t>(“residencies”) completed over the course of</w:t>
      </w:r>
      <w:r w:rsidRPr="002D055C">
        <w:rPr>
          <w:rFonts w:ascii="Times New Roman" w:hAnsi="Times New Roman"/>
          <w:b/>
        </w:rPr>
        <w:t xml:space="preserve"> three to seven years, </w:t>
      </w:r>
      <w:r w:rsidRPr="002D055C">
        <w:rPr>
          <w:rFonts w:ascii="Times New Roman" w:hAnsi="Times New Roman"/>
        </w:rPr>
        <w:t xml:space="preserve">during which DO and MD physicians develop advanced knowledge and clinical skills relating to a wide variety of patient conditions over the course of three to six years. </w:t>
      </w:r>
    </w:p>
    <w:p w14:paraId="6FDA6ED9" w14:textId="77777777" w:rsidR="008D32E2" w:rsidRPr="002D055C" w:rsidRDefault="008D32E2" w:rsidP="008D32E2">
      <w:pPr>
        <w:numPr>
          <w:ilvl w:val="0"/>
          <w:numId w:val="8"/>
        </w:numPr>
        <w:spacing w:after="200" w:line="276" w:lineRule="auto"/>
        <w:contextualSpacing/>
        <w:rPr>
          <w:rFonts w:ascii="Times New Roman" w:hAnsi="Times New Roman"/>
        </w:rPr>
      </w:pPr>
      <w:r w:rsidRPr="002D055C">
        <w:rPr>
          <w:rFonts w:ascii="Times New Roman" w:hAnsi="Times New Roman"/>
        </w:rPr>
        <w:t xml:space="preserve">DOs and MDs are then eligible to sit for the examination process to obtain board certification in their chosen specialty. </w:t>
      </w:r>
    </w:p>
    <w:p w14:paraId="29DB7677" w14:textId="77777777" w:rsidR="008D32E2" w:rsidRPr="002D055C" w:rsidRDefault="008D32E2" w:rsidP="008D32E2">
      <w:pPr>
        <w:autoSpaceDE w:val="0"/>
        <w:autoSpaceDN w:val="0"/>
        <w:adjustRightInd w:val="0"/>
        <w:rPr>
          <w:rFonts w:ascii="Times New Roman" w:hAnsi="Times New Roman"/>
          <w:bCs w:val="0"/>
        </w:rPr>
      </w:pPr>
    </w:p>
    <w:p w14:paraId="635C81FA" w14:textId="2788B3D0" w:rsidR="008D32E2" w:rsidRPr="002D055C" w:rsidRDefault="00A0013B" w:rsidP="008D32E2">
      <w:pPr>
        <w:autoSpaceDE w:val="0"/>
        <w:autoSpaceDN w:val="0"/>
        <w:adjustRightInd w:val="0"/>
        <w:rPr>
          <w:rFonts w:ascii="Times New Roman" w:hAnsi="Times New Roman"/>
          <w:b/>
          <w:bCs w:val="0"/>
        </w:rPr>
      </w:pPr>
      <w:r w:rsidRPr="002D055C">
        <w:rPr>
          <w:rFonts w:ascii="Times New Roman" w:hAnsi="Times New Roman"/>
          <w:b/>
          <w:bCs w:val="0"/>
        </w:rPr>
        <w:t>Non-physician clinician requirements vary by profession</w:t>
      </w:r>
      <w:r w:rsidR="009952BC" w:rsidRPr="002D055C">
        <w:rPr>
          <w:rFonts w:ascii="Times New Roman" w:hAnsi="Times New Roman"/>
          <w:b/>
          <w:bCs w:val="0"/>
        </w:rPr>
        <w:t xml:space="preserve"> and state,</w:t>
      </w:r>
      <w:r w:rsidRPr="002D055C">
        <w:rPr>
          <w:rFonts w:ascii="Times New Roman" w:hAnsi="Times New Roman"/>
          <w:b/>
          <w:bCs w:val="0"/>
        </w:rPr>
        <w:t xml:space="preserve"> but </w:t>
      </w:r>
      <w:r w:rsidR="009952BC" w:rsidRPr="002D055C">
        <w:rPr>
          <w:rFonts w:ascii="Times New Roman" w:hAnsi="Times New Roman"/>
          <w:b/>
          <w:bCs w:val="0"/>
        </w:rPr>
        <w:t xml:space="preserve">many are </w:t>
      </w:r>
      <w:proofErr w:type="gramStart"/>
      <w:r w:rsidR="009952BC" w:rsidRPr="002D055C">
        <w:rPr>
          <w:rFonts w:ascii="Times New Roman" w:hAnsi="Times New Roman"/>
          <w:b/>
          <w:bCs w:val="0"/>
        </w:rPr>
        <w:t>similar to</w:t>
      </w:r>
      <w:proofErr w:type="gramEnd"/>
      <w:r w:rsidR="009952BC" w:rsidRPr="002D055C">
        <w:rPr>
          <w:rFonts w:ascii="Times New Roman" w:hAnsi="Times New Roman"/>
          <w:b/>
          <w:bCs w:val="0"/>
        </w:rPr>
        <w:t xml:space="preserve"> CRNA</w:t>
      </w:r>
      <w:r w:rsidR="0059780A" w:rsidRPr="002D055C">
        <w:rPr>
          <w:rFonts w:ascii="Times New Roman" w:hAnsi="Times New Roman"/>
          <w:b/>
          <w:bCs w:val="0"/>
        </w:rPr>
        <w:t xml:space="preserve"> requirement</w:t>
      </w:r>
      <w:r w:rsidR="009952BC" w:rsidRPr="002D055C">
        <w:rPr>
          <w:rFonts w:ascii="Times New Roman" w:hAnsi="Times New Roman"/>
          <w:b/>
          <w:bCs w:val="0"/>
        </w:rPr>
        <w:t>s, which include</w:t>
      </w:r>
      <w:r w:rsidR="008D32E2" w:rsidRPr="002D055C">
        <w:rPr>
          <w:rFonts w:ascii="Times New Roman" w:hAnsi="Times New Roman"/>
          <w:b/>
          <w:bCs w:val="0"/>
        </w:rPr>
        <w:t>:</w:t>
      </w:r>
      <w:r w:rsidR="008D32E2" w:rsidRPr="002D055C">
        <w:rPr>
          <w:rFonts w:ascii="Times New Roman" w:hAnsi="Times New Roman"/>
          <w:b/>
          <w:bCs w:val="0"/>
          <w:vertAlign w:val="superscript"/>
        </w:rPr>
        <w:footnoteReference w:id="2"/>
      </w:r>
    </w:p>
    <w:p w14:paraId="29212D31" w14:textId="261B58B4" w:rsidR="009952BC" w:rsidRPr="002D055C" w:rsidRDefault="009952BC" w:rsidP="008D32E2">
      <w:pPr>
        <w:numPr>
          <w:ilvl w:val="0"/>
          <w:numId w:val="4"/>
        </w:numPr>
        <w:autoSpaceDE w:val="0"/>
        <w:autoSpaceDN w:val="0"/>
        <w:adjustRightInd w:val="0"/>
        <w:rPr>
          <w:rFonts w:ascii="Times New Roman" w:hAnsi="Times New Roman"/>
          <w:bCs w:val="0"/>
        </w:rPr>
      </w:pPr>
      <w:r w:rsidRPr="002D055C">
        <w:rPr>
          <w:rFonts w:ascii="Times New Roman" w:hAnsi="Times New Roman"/>
          <w:b/>
        </w:rPr>
        <w:t>One year of experience</w:t>
      </w:r>
      <w:r w:rsidRPr="002D055C">
        <w:rPr>
          <w:rFonts w:ascii="Times New Roman" w:hAnsi="Times New Roman"/>
          <w:bCs w:val="0"/>
        </w:rPr>
        <w:t xml:space="preserve"> in an acute care setting following an undergraduate degree. </w:t>
      </w:r>
    </w:p>
    <w:p w14:paraId="6EF35059" w14:textId="18F95C58" w:rsidR="008D32E2" w:rsidRPr="002D055C" w:rsidRDefault="008D32E2" w:rsidP="008D32E2">
      <w:pPr>
        <w:numPr>
          <w:ilvl w:val="0"/>
          <w:numId w:val="4"/>
        </w:numPr>
        <w:autoSpaceDE w:val="0"/>
        <w:autoSpaceDN w:val="0"/>
        <w:adjustRightInd w:val="0"/>
        <w:rPr>
          <w:rFonts w:ascii="Times New Roman" w:hAnsi="Times New Roman"/>
          <w:bCs w:val="0"/>
        </w:rPr>
      </w:pPr>
      <w:r w:rsidRPr="002D055C">
        <w:rPr>
          <w:rFonts w:ascii="Times New Roman" w:hAnsi="Times New Roman"/>
          <w:bCs w:val="0"/>
        </w:rPr>
        <w:t xml:space="preserve">A </w:t>
      </w:r>
      <w:r w:rsidRPr="002D055C">
        <w:rPr>
          <w:rFonts w:ascii="Times New Roman" w:hAnsi="Times New Roman"/>
          <w:b/>
          <w:bCs w:val="0"/>
        </w:rPr>
        <w:t>two-year master’s degree</w:t>
      </w:r>
      <w:r w:rsidR="009952BC" w:rsidRPr="002D055C">
        <w:rPr>
          <w:rFonts w:ascii="Times New Roman" w:hAnsi="Times New Roman"/>
          <w:bCs w:val="0"/>
        </w:rPr>
        <w:t>.</w:t>
      </w:r>
    </w:p>
    <w:p w14:paraId="075E6231" w14:textId="77777777" w:rsidR="008D32E2" w:rsidRPr="002D055C" w:rsidRDefault="008D32E2" w:rsidP="008D32E2">
      <w:pPr>
        <w:numPr>
          <w:ilvl w:val="0"/>
          <w:numId w:val="4"/>
        </w:numPr>
        <w:autoSpaceDE w:val="0"/>
        <w:autoSpaceDN w:val="0"/>
        <w:adjustRightInd w:val="0"/>
        <w:rPr>
          <w:rFonts w:ascii="Times New Roman" w:hAnsi="Times New Roman"/>
          <w:b/>
          <w:bCs w:val="0"/>
        </w:rPr>
      </w:pPr>
      <w:r w:rsidRPr="002D055C">
        <w:rPr>
          <w:rFonts w:ascii="Times New Roman" w:hAnsi="Times New Roman"/>
          <w:b/>
          <w:bCs w:val="0"/>
        </w:rPr>
        <w:t xml:space="preserve">No supervised postgraduate “residency” training. </w:t>
      </w:r>
    </w:p>
    <w:p w14:paraId="4AE9AF04" w14:textId="50E96B4B" w:rsidR="008D32E2" w:rsidRPr="002D055C" w:rsidRDefault="008D32E2" w:rsidP="008D32E2">
      <w:pPr>
        <w:numPr>
          <w:ilvl w:val="0"/>
          <w:numId w:val="4"/>
        </w:numPr>
        <w:autoSpaceDE w:val="0"/>
        <w:autoSpaceDN w:val="0"/>
        <w:adjustRightInd w:val="0"/>
        <w:rPr>
          <w:rFonts w:ascii="Times New Roman" w:hAnsi="Times New Roman"/>
          <w:bCs w:val="0"/>
        </w:rPr>
      </w:pPr>
      <w:r w:rsidRPr="002D055C">
        <w:rPr>
          <w:rFonts w:ascii="Times New Roman" w:hAnsi="Times New Roman"/>
          <w:bCs w:val="0"/>
        </w:rPr>
        <w:t xml:space="preserve">A </w:t>
      </w:r>
      <w:r w:rsidRPr="002D055C">
        <w:rPr>
          <w:rFonts w:ascii="Times New Roman" w:hAnsi="Times New Roman"/>
          <w:b/>
          <w:bCs w:val="0"/>
        </w:rPr>
        <w:t>single, national certifying examination</w:t>
      </w:r>
      <w:r w:rsidRPr="002D055C">
        <w:rPr>
          <w:rFonts w:ascii="Times New Roman" w:hAnsi="Times New Roman"/>
          <w:bCs w:val="0"/>
        </w:rPr>
        <w:t xml:space="preserve"> created by an organization comprised of other </w:t>
      </w:r>
      <w:r w:rsidR="009952BC" w:rsidRPr="002D055C">
        <w:rPr>
          <w:rFonts w:ascii="Times New Roman" w:hAnsi="Times New Roman"/>
          <w:bCs w:val="0"/>
        </w:rPr>
        <w:t>CRNAs</w:t>
      </w:r>
      <w:r w:rsidRPr="002D055C">
        <w:rPr>
          <w:rFonts w:ascii="Times New Roman" w:hAnsi="Times New Roman"/>
          <w:bCs w:val="0"/>
        </w:rPr>
        <w:t xml:space="preserve">. </w:t>
      </w:r>
    </w:p>
    <w:p w14:paraId="64173111" w14:textId="77777777" w:rsidR="006243A1" w:rsidRPr="002D055C" w:rsidRDefault="006243A1" w:rsidP="008D32E2">
      <w:pPr>
        <w:autoSpaceDE w:val="0"/>
        <w:autoSpaceDN w:val="0"/>
        <w:adjustRightInd w:val="0"/>
        <w:rPr>
          <w:rFonts w:ascii="Times New Roman" w:hAnsi="Times New Roman"/>
          <w:color w:val="000000"/>
        </w:rPr>
      </w:pPr>
    </w:p>
    <w:p w14:paraId="057ED975" w14:textId="53BC860B" w:rsidR="006243A1" w:rsidRPr="002D055C" w:rsidRDefault="006243A1" w:rsidP="006243A1">
      <w:pPr>
        <w:autoSpaceDE w:val="0"/>
        <w:autoSpaceDN w:val="0"/>
        <w:adjustRightInd w:val="0"/>
        <w:rPr>
          <w:rFonts w:ascii="Times New Roman" w:hAnsi="Times New Roman"/>
          <w:color w:val="000000"/>
        </w:rPr>
      </w:pPr>
      <w:r w:rsidRPr="002D055C">
        <w:rPr>
          <w:rFonts w:ascii="Times New Roman" w:hAnsi="Times New Roman"/>
          <w:color w:val="000000"/>
        </w:rPr>
        <w:t>B</w:t>
      </w:r>
      <w:r w:rsidR="008D32E2" w:rsidRPr="002D055C">
        <w:rPr>
          <w:rFonts w:ascii="Times New Roman" w:hAnsi="Times New Roman"/>
          <w:color w:val="000000"/>
        </w:rPr>
        <w:t>y</w:t>
      </w:r>
      <w:r w:rsidR="0059780A" w:rsidRPr="002D055C">
        <w:rPr>
          <w:rFonts w:ascii="Times New Roman" w:hAnsi="Times New Roman"/>
          <w:color w:val="000000"/>
        </w:rPr>
        <w:t xml:space="preserve"> eliminating physician oversight of CRNAs in VA facilities</w:t>
      </w:r>
      <w:r w:rsidRPr="002D055C">
        <w:rPr>
          <w:rFonts w:ascii="Times New Roman" w:hAnsi="Times New Roman"/>
          <w:color w:val="000000"/>
        </w:rPr>
        <w:t xml:space="preserve"> and </w:t>
      </w:r>
      <w:r w:rsidR="0059780A" w:rsidRPr="002D055C">
        <w:rPr>
          <w:rFonts w:ascii="Times New Roman" w:hAnsi="Times New Roman"/>
          <w:color w:val="000000"/>
        </w:rPr>
        <w:t>expanding the scope of practice for 32 types of health care professionals in VA facilities, even in states that have laws to the contrary</w:t>
      </w:r>
      <w:r w:rsidRPr="002D055C">
        <w:rPr>
          <w:rFonts w:ascii="Times New Roman" w:hAnsi="Times New Roman"/>
          <w:color w:val="000000"/>
        </w:rPr>
        <w:t xml:space="preserve">, the VA’s new policies </w:t>
      </w:r>
    </w:p>
    <w:p w14:paraId="59078268" w14:textId="353F1325" w:rsidR="008D32E2" w:rsidRPr="002D055C" w:rsidRDefault="006243A1" w:rsidP="006243A1">
      <w:pPr>
        <w:autoSpaceDE w:val="0"/>
        <w:autoSpaceDN w:val="0"/>
        <w:adjustRightInd w:val="0"/>
        <w:rPr>
          <w:rFonts w:ascii="Times New Roman" w:hAnsi="Times New Roman"/>
          <w:color w:val="000000"/>
        </w:rPr>
      </w:pPr>
      <w:r w:rsidRPr="002D055C">
        <w:rPr>
          <w:rFonts w:ascii="Times New Roman" w:hAnsi="Times New Roman"/>
          <w:color w:val="000000"/>
        </w:rPr>
        <w:t>disregard the decades of evidence and experience behind established medical school and graduate medical education programs and circumvent current, standardized requirements for medical licensure across the United States</w:t>
      </w:r>
      <w:r w:rsidR="00692319" w:rsidRPr="002D055C">
        <w:rPr>
          <w:rFonts w:ascii="Times New Roman" w:hAnsi="Times New Roman"/>
          <w:color w:val="000000"/>
        </w:rPr>
        <w:t>.</w:t>
      </w:r>
    </w:p>
    <w:p w14:paraId="7E84C59E" w14:textId="77777777" w:rsidR="008D32E2" w:rsidRPr="002D055C" w:rsidRDefault="008D32E2" w:rsidP="008D32E2">
      <w:pPr>
        <w:rPr>
          <w:rFonts w:ascii="Times New Roman" w:hAnsi="Times New Roman"/>
          <w:bCs w:val="0"/>
        </w:rPr>
      </w:pPr>
    </w:p>
    <w:p w14:paraId="264E965A" w14:textId="25E4931A" w:rsidR="006665D6" w:rsidRPr="002D055C" w:rsidRDefault="008D32E2" w:rsidP="0059780A">
      <w:pPr>
        <w:rPr>
          <w:rFonts w:ascii="Times New Roman" w:hAnsi="Times New Roman"/>
        </w:rPr>
      </w:pPr>
      <w:r w:rsidRPr="002D055C">
        <w:rPr>
          <w:rFonts w:ascii="Times New Roman" w:hAnsi="Times New Roman"/>
          <w:bCs w:val="0"/>
        </w:rPr>
        <w:t xml:space="preserve">The </w:t>
      </w:r>
      <w:r w:rsidR="0059780A" w:rsidRPr="002D055C">
        <w:rPr>
          <w:rFonts w:ascii="Times New Roman" w:hAnsi="Times New Roman"/>
          <w:bCs w:val="0"/>
        </w:rPr>
        <w:t xml:space="preserve">AOA and the undersigned </w:t>
      </w:r>
      <w:r w:rsidR="00692319" w:rsidRPr="002D055C">
        <w:rPr>
          <w:rFonts w:ascii="Times New Roman" w:hAnsi="Times New Roman"/>
          <w:bCs w:val="0"/>
        </w:rPr>
        <w:t>osteopathic state and specialty organizations</w:t>
      </w:r>
      <w:r w:rsidRPr="002D055C">
        <w:rPr>
          <w:rFonts w:ascii="Times New Roman" w:hAnsi="Times New Roman"/>
          <w:bCs w:val="0"/>
        </w:rPr>
        <w:t xml:space="preserve"> believe that all patients deserve access to high-quality medical care provided by a fully trained and licensed </w:t>
      </w:r>
      <w:r w:rsidRPr="002D055C">
        <w:rPr>
          <w:rFonts w:ascii="Times New Roman" w:hAnsi="Times New Roman"/>
          <w:bCs w:val="0"/>
        </w:rPr>
        <w:lastRenderedPageBreak/>
        <w:t xml:space="preserve">physician. </w:t>
      </w:r>
      <w:r w:rsidR="0059780A" w:rsidRPr="002D055C">
        <w:rPr>
          <w:rFonts w:ascii="Times New Roman" w:hAnsi="Times New Roman"/>
          <w:bCs w:val="0"/>
        </w:rPr>
        <w:t>Non-physician clinicians</w:t>
      </w:r>
      <w:r w:rsidRPr="002D055C">
        <w:rPr>
          <w:rFonts w:ascii="Times New Roman" w:hAnsi="Times New Roman"/>
          <w:bCs w:val="0"/>
        </w:rPr>
        <w:t xml:space="preserve"> do not have the extensive medical education </w:t>
      </w:r>
      <w:r w:rsidRPr="002D055C">
        <w:rPr>
          <w:rFonts w:ascii="Times New Roman" w:hAnsi="Times New Roman"/>
        </w:rPr>
        <w:t xml:space="preserve">and training that physicians receive </w:t>
      </w:r>
      <w:r w:rsidR="00962A45" w:rsidRPr="002D055C">
        <w:rPr>
          <w:rFonts w:ascii="Times New Roman" w:hAnsi="Times New Roman"/>
        </w:rPr>
        <w:t xml:space="preserve">which </w:t>
      </w:r>
      <w:r w:rsidRPr="002D055C">
        <w:rPr>
          <w:rFonts w:ascii="Times New Roman" w:hAnsi="Times New Roman"/>
        </w:rPr>
        <w:t>prepares them to understand medical treatment of disease, complex case management and safe prescribing practices</w:t>
      </w:r>
      <w:r w:rsidR="0059780A" w:rsidRPr="002D055C">
        <w:rPr>
          <w:rFonts w:ascii="Times New Roman" w:hAnsi="Times New Roman"/>
        </w:rPr>
        <w:t xml:space="preserve"> – especially in the case of a</w:t>
      </w:r>
      <w:r w:rsidR="00962A45" w:rsidRPr="002D055C">
        <w:rPr>
          <w:rFonts w:ascii="Times New Roman" w:hAnsi="Times New Roman"/>
        </w:rPr>
        <w:t xml:space="preserve"> challenging</w:t>
      </w:r>
      <w:r w:rsidR="0059780A" w:rsidRPr="002D055C">
        <w:rPr>
          <w:rFonts w:ascii="Times New Roman" w:hAnsi="Times New Roman"/>
        </w:rPr>
        <w:t xml:space="preserve"> infectious disease like </w:t>
      </w:r>
      <w:r w:rsidR="00962A45" w:rsidRPr="002D055C">
        <w:rPr>
          <w:rFonts w:ascii="Times New Roman" w:hAnsi="Times New Roman"/>
        </w:rPr>
        <w:t>COVID-19, which has been shown to be more complex and more lethal in patients with other chronic conditions</w:t>
      </w:r>
      <w:r w:rsidRPr="002D055C">
        <w:rPr>
          <w:rFonts w:ascii="Times New Roman" w:hAnsi="Times New Roman"/>
        </w:rPr>
        <w:t>. Granting the</w:t>
      </w:r>
      <w:r w:rsidR="0059780A" w:rsidRPr="002D055C">
        <w:rPr>
          <w:rFonts w:ascii="Times New Roman" w:hAnsi="Times New Roman"/>
        </w:rPr>
        <w:t>se individuals</w:t>
      </w:r>
      <w:r w:rsidRPr="002D055C">
        <w:rPr>
          <w:rFonts w:ascii="Times New Roman" w:hAnsi="Times New Roman"/>
        </w:rPr>
        <w:t xml:space="preserve"> the ability to practice similarly to a physician</w:t>
      </w:r>
      <w:r w:rsidR="005F3072" w:rsidRPr="002D055C">
        <w:rPr>
          <w:rFonts w:ascii="Times New Roman" w:hAnsi="Times New Roman"/>
        </w:rPr>
        <w:t xml:space="preserve"> without any evidence regarding patient safety outcomes</w:t>
      </w:r>
      <w:r w:rsidR="0059780A" w:rsidRPr="002D055C">
        <w:rPr>
          <w:rFonts w:ascii="Times New Roman" w:hAnsi="Times New Roman"/>
        </w:rPr>
        <w:t xml:space="preserve"> – </w:t>
      </w:r>
      <w:r w:rsidR="005F3072" w:rsidRPr="002D055C">
        <w:rPr>
          <w:rFonts w:ascii="Times New Roman" w:hAnsi="Times New Roman"/>
        </w:rPr>
        <w:t xml:space="preserve">and </w:t>
      </w:r>
      <w:r w:rsidR="00692319" w:rsidRPr="002D055C">
        <w:rPr>
          <w:rFonts w:ascii="Times New Roman" w:hAnsi="Times New Roman"/>
        </w:rPr>
        <w:t>in some cases,</w:t>
      </w:r>
      <w:r w:rsidR="0059780A" w:rsidRPr="002D055C">
        <w:rPr>
          <w:rFonts w:ascii="Times New Roman" w:hAnsi="Times New Roman"/>
        </w:rPr>
        <w:t xml:space="preserve"> in direct conflict with state law</w:t>
      </w:r>
      <w:r w:rsidR="005F3072" w:rsidRPr="002D055C">
        <w:rPr>
          <w:rFonts w:ascii="Times New Roman" w:hAnsi="Times New Roman"/>
        </w:rPr>
        <w:t>s</w:t>
      </w:r>
      <w:r w:rsidR="0059780A" w:rsidRPr="002D055C">
        <w:rPr>
          <w:rFonts w:ascii="Times New Roman" w:hAnsi="Times New Roman"/>
        </w:rPr>
        <w:t xml:space="preserve"> –</w:t>
      </w:r>
      <w:r w:rsidR="005F3072" w:rsidRPr="002D055C">
        <w:rPr>
          <w:rFonts w:ascii="Times New Roman" w:hAnsi="Times New Roman"/>
        </w:rPr>
        <w:t xml:space="preserve"> </w:t>
      </w:r>
      <w:r w:rsidRPr="002D055C">
        <w:rPr>
          <w:rFonts w:ascii="Times New Roman" w:hAnsi="Times New Roman"/>
        </w:rPr>
        <w:t xml:space="preserve">could </w:t>
      </w:r>
      <w:r w:rsidR="005F3072" w:rsidRPr="002D055C">
        <w:rPr>
          <w:rFonts w:ascii="Times New Roman" w:hAnsi="Times New Roman"/>
        </w:rPr>
        <w:t>put</w:t>
      </w:r>
      <w:r w:rsidRPr="002D055C">
        <w:rPr>
          <w:rFonts w:ascii="Times New Roman" w:hAnsi="Times New Roman"/>
        </w:rPr>
        <w:t xml:space="preserve"> the health of </w:t>
      </w:r>
      <w:r w:rsidR="0059780A" w:rsidRPr="002D055C">
        <w:rPr>
          <w:rFonts w:ascii="Times New Roman" w:hAnsi="Times New Roman"/>
        </w:rPr>
        <w:t>veterans and their families</w:t>
      </w:r>
      <w:r w:rsidR="005F3072" w:rsidRPr="002D055C">
        <w:rPr>
          <w:rFonts w:ascii="Times New Roman" w:hAnsi="Times New Roman"/>
        </w:rPr>
        <w:t xml:space="preserve"> at risk</w:t>
      </w:r>
      <w:r w:rsidR="0059780A" w:rsidRPr="002D055C">
        <w:rPr>
          <w:rFonts w:ascii="Times New Roman" w:hAnsi="Times New Roman"/>
        </w:rPr>
        <w:t xml:space="preserve">. </w:t>
      </w:r>
      <w:r w:rsidR="005F3072" w:rsidRPr="002D055C">
        <w:rPr>
          <w:rFonts w:ascii="Times New Roman" w:hAnsi="Times New Roman"/>
          <w:b/>
          <w:bCs w:val="0"/>
        </w:rPr>
        <w:t xml:space="preserve">Therefore, we urge you to amend Directive 1899 to defer to state scope of practice </w:t>
      </w:r>
      <w:r w:rsidR="00D3665A" w:rsidRPr="002D055C">
        <w:rPr>
          <w:rFonts w:ascii="Times New Roman" w:hAnsi="Times New Roman"/>
          <w:b/>
          <w:bCs w:val="0"/>
        </w:rPr>
        <w:t>laws and</w:t>
      </w:r>
      <w:r w:rsidR="005F3072" w:rsidRPr="002D055C">
        <w:rPr>
          <w:rFonts w:ascii="Times New Roman" w:hAnsi="Times New Roman"/>
          <w:b/>
          <w:bCs w:val="0"/>
        </w:rPr>
        <w:t xml:space="preserve"> rescind the Memorandum as it relates to CRNA </w:t>
      </w:r>
      <w:r w:rsidR="00692319" w:rsidRPr="002D055C">
        <w:rPr>
          <w:rFonts w:ascii="Times New Roman" w:hAnsi="Times New Roman"/>
          <w:b/>
          <w:bCs w:val="0"/>
        </w:rPr>
        <w:t xml:space="preserve">independent </w:t>
      </w:r>
      <w:r w:rsidR="005F3072" w:rsidRPr="002D055C">
        <w:rPr>
          <w:rFonts w:ascii="Times New Roman" w:hAnsi="Times New Roman"/>
          <w:b/>
          <w:bCs w:val="0"/>
        </w:rPr>
        <w:t xml:space="preserve">practice. </w:t>
      </w:r>
      <w:r w:rsidR="005F3072" w:rsidRPr="002D055C">
        <w:rPr>
          <w:rFonts w:ascii="Times New Roman" w:hAnsi="Times New Roman"/>
        </w:rPr>
        <w:t xml:space="preserve"> </w:t>
      </w:r>
    </w:p>
    <w:p w14:paraId="2FEAD1CD" w14:textId="77777777" w:rsidR="00F04B9C" w:rsidRPr="002D055C" w:rsidRDefault="00F04B9C" w:rsidP="00F04B9C">
      <w:pPr>
        <w:pStyle w:val="NormalWeb"/>
      </w:pPr>
      <w:r w:rsidRPr="002D055C">
        <w:t>Sincerely,</w:t>
      </w:r>
    </w:p>
    <w:p w14:paraId="5E7F7229" w14:textId="77777777" w:rsidR="00F04B9C" w:rsidRPr="002D055C" w:rsidRDefault="00083630" w:rsidP="00F04B9C">
      <w:pPr>
        <w:rPr>
          <w:rFonts w:ascii="Times New Roman" w:hAnsi="Times New Roman"/>
        </w:rPr>
      </w:pPr>
      <w:r w:rsidRPr="002D055C">
        <w:rPr>
          <w:rFonts w:ascii="Times New Roman" w:hAnsi="Times New Roman"/>
        </w:rPr>
        <w:t>American Osteopathic Association</w:t>
      </w:r>
    </w:p>
    <w:p w14:paraId="5A4B786E" w14:textId="77777777" w:rsidR="00083630" w:rsidRPr="002D055C" w:rsidRDefault="00083630" w:rsidP="00F04B9C">
      <w:pPr>
        <w:rPr>
          <w:rFonts w:ascii="Times New Roman" w:hAnsi="Times New Roman"/>
        </w:rPr>
      </w:pPr>
      <w:r w:rsidRPr="002D055C">
        <w:rPr>
          <w:rFonts w:ascii="Times New Roman" w:hAnsi="Times New Roman"/>
        </w:rPr>
        <w:t>XX</w:t>
      </w:r>
    </w:p>
    <w:p w14:paraId="72CEDC16" w14:textId="19D83E0C" w:rsidR="00252694" w:rsidRPr="002D055C" w:rsidRDefault="00083630" w:rsidP="00D3665A">
      <w:pPr>
        <w:rPr>
          <w:rFonts w:ascii="Times New Roman" w:hAnsi="Times New Roman"/>
        </w:rPr>
      </w:pPr>
      <w:r w:rsidRPr="002D055C">
        <w:rPr>
          <w:rFonts w:ascii="Times New Roman" w:hAnsi="Times New Roman"/>
        </w:rPr>
        <w:t>XX</w:t>
      </w:r>
      <w:r w:rsidR="003A786F" w:rsidRPr="002D055C">
        <w:rPr>
          <w:rFonts w:ascii="Times New Roman" w:hAnsi="Times New Roman"/>
        </w:rPr>
        <w:t xml:space="preserve"> </w:t>
      </w:r>
    </w:p>
    <w:sectPr w:rsidR="00252694" w:rsidRPr="002D055C" w:rsidSect="00E06138">
      <w:headerReference w:type="default" r:id="rId11"/>
      <w:footerReference w:type="default" r:id="rId12"/>
      <w:head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5BC9E" w14:textId="77777777" w:rsidR="00DF6117" w:rsidRDefault="00DF6117" w:rsidP="006748F2">
      <w:r>
        <w:separator/>
      </w:r>
    </w:p>
  </w:endnote>
  <w:endnote w:type="continuationSeparator" w:id="0">
    <w:p w14:paraId="0DF96AF3" w14:textId="77777777" w:rsidR="00DF6117" w:rsidRDefault="00DF6117" w:rsidP="0067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274E" w14:textId="77777777" w:rsidR="00534222" w:rsidRDefault="00DF611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40342" w14:textId="77777777" w:rsidR="00BB7D1C" w:rsidRPr="007D07F3" w:rsidRDefault="00DF6117" w:rsidP="00BB7D1C">
    <w:pPr>
      <w:pStyle w:val="Footer"/>
      <w:jc w:val="center"/>
      <w:rPr>
        <w:rFonts w:ascii="Calibri" w:hAnsi="Calibri" w:cs="Calibri"/>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E1DC" w14:textId="77777777" w:rsidR="00526B3C" w:rsidRDefault="00DF6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A2E0A" w14:textId="77777777" w:rsidR="00DF6117" w:rsidRDefault="00DF6117" w:rsidP="006748F2">
      <w:r>
        <w:separator/>
      </w:r>
    </w:p>
  </w:footnote>
  <w:footnote w:type="continuationSeparator" w:id="0">
    <w:p w14:paraId="3E039C6E" w14:textId="77777777" w:rsidR="00DF6117" w:rsidRDefault="00DF6117" w:rsidP="006748F2">
      <w:r>
        <w:continuationSeparator/>
      </w:r>
    </w:p>
  </w:footnote>
  <w:footnote w:id="1">
    <w:p w14:paraId="077579DD" w14:textId="35059E8F" w:rsidR="006243A1" w:rsidRDefault="006243A1" w:rsidP="006243A1">
      <w:pPr>
        <w:pStyle w:val="FootnoteText"/>
      </w:pPr>
      <w:r>
        <w:rPr>
          <w:rStyle w:val="FootnoteReference"/>
        </w:rPr>
        <w:footnoteRef/>
      </w:r>
      <w:r>
        <w:t xml:space="preserve"> </w:t>
      </w:r>
      <w:proofErr w:type="spellStart"/>
      <w:r>
        <w:t>Baselice</w:t>
      </w:r>
      <w:proofErr w:type="spellEnd"/>
      <w:r>
        <w:t xml:space="preserve"> &amp; Associates conducted a telephone survey on behalf of the AMA Scope of Practice Partnership between March 8–12, 2012. </w:t>
      </w:r>
      <w:proofErr w:type="spellStart"/>
      <w:r>
        <w:t>Baselice</w:t>
      </w:r>
      <w:proofErr w:type="spellEnd"/>
      <w:r>
        <w:t xml:space="preserve"> &amp; Associates surveyed 801 adults nationwide. The overall margin of error is +/- 3.5 percent at the 95 percent level. Another survey conducted in 2018 reflected similar results (</w:t>
      </w:r>
      <w:r w:rsidRPr="006243A1">
        <w:rPr>
          <w:i/>
          <w:iCs/>
        </w:rPr>
        <w:t>see</w:t>
      </w:r>
      <w:r>
        <w:t xml:space="preserve"> </w:t>
      </w:r>
      <w:hyperlink r:id="rId1" w:history="1">
        <w:r w:rsidRPr="008276EF">
          <w:rPr>
            <w:rStyle w:val="Hyperlink"/>
          </w:rPr>
          <w:t>https://www.ama-assn.org/practice-management/payment-delivery-models/physician-led-team-based-care</w:t>
        </w:r>
      </w:hyperlink>
      <w:r>
        <w:t xml:space="preserve">). </w:t>
      </w:r>
    </w:p>
  </w:footnote>
  <w:footnote w:id="2">
    <w:p w14:paraId="1FCF4A4A" w14:textId="07CCF634" w:rsidR="008D32E2" w:rsidRDefault="008D32E2" w:rsidP="008D32E2">
      <w:pPr>
        <w:pStyle w:val="FootnoteText"/>
      </w:pPr>
      <w:r>
        <w:rPr>
          <w:rStyle w:val="FootnoteReference"/>
        </w:rPr>
        <w:footnoteRef/>
      </w:r>
      <w:r>
        <w:t xml:space="preserve"> </w:t>
      </w:r>
      <w:hyperlink r:id="rId2" w:history="1">
        <w:r w:rsidR="009952BC" w:rsidRPr="008276EF">
          <w:rPr>
            <w:rStyle w:val="Hyperlink"/>
            <w:i/>
          </w:rPr>
          <w:t>https://www.allnursingschools.com/nurse-anesthetist/</w:t>
        </w:r>
      </w:hyperlink>
      <w:r w:rsidR="009952BC">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C0E5" w14:textId="77777777" w:rsidR="00526B3C" w:rsidRDefault="00DF6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BAEF1" w14:textId="77777777" w:rsidR="00526B3C" w:rsidRDefault="00DF6117">
    <w:pPr>
      <w:pStyle w:val="Header"/>
    </w:pPr>
    <w:r>
      <w:rPr>
        <w:noProof/>
        <w:lang w:eastAsia="zh-TW"/>
      </w:rPr>
      <w:pict w14:anchorId="66454B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239B"/>
    <w:multiLevelType w:val="multilevel"/>
    <w:tmpl w:val="78EEB866"/>
    <w:lvl w:ilvl="0">
      <w:start w:val="16"/>
      <w:numFmt w:val="upperLetter"/>
      <w:lvlText w:val="%1"/>
      <w:lvlJc w:val="left"/>
      <w:pPr>
        <w:ind w:left="116" w:hanging="488"/>
      </w:pPr>
      <w:rPr>
        <w:rFonts w:hint="default"/>
      </w:rPr>
    </w:lvl>
    <w:lvl w:ilvl="1">
      <w:start w:val="15"/>
      <w:numFmt w:val="upperLetter"/>
      <w:lvlText w:val="%1.%2."/>
      <w:lvlJc w:val="left"/>
      <w:pPr>
        <w:ind w:left="116" w:hanging="488"/>
      </w:pPr>
      <w:rPr>
        <w:rFonts w:ascii="Garamond" w:eastAsia="Garamond" w:hAnsi="Garamond" w:cs="Garamond" w:hint="default"/>
        <w:spacing w:val="-3"/>
        <w:w w:val="100"/>
        <w:sz w:val="24"/>
        <w:szCs w:val="24"/>
      </w:rPr>
    </w:lvl>
    <w:lvl w:ilvl="2">
      <w:numFmt w:val="bullet"/>
      <w:lvlText w:val=""/>
      <w:lvlJc w:val="left"/>
      <w:pPr>
        <w:ind w:left="836" w:hanging="361"/>
      </w:pPr>
      <w:rPr>
        <w:rFonts w:ascii="Symbol" w:eastAsia="Symbol" w:hAnsi="Symbol" w:cs="Symbol" w:hint="default"/>
        <w:w w:val="100"/>
        <w:sz w:val="24"/>
        <w:szCs w:val="24"/>
      </w:rPr>
    </w:lvl>
    <w:lvl w:ilvl="3">
      <w:numFmt w:val="bullet"/>
      <w:lvlText w:val="•"/>
      <w:lvlJc w:val="left"/>
      <w:pPr>
        <w:ind w:left="3008" w:hanging="361"/>
      </w:pPr>
      <w:rPr>
        <w:rFonts w:hint="default"/>
      </w:rPr>
    </w:lvl>
    <w:lvl w:ilvl="4">
      <w:numFmt w:val="bullet"/>
      <w:lvlText w:val="•"/>
      <w:lvlJc w:val="left"/>
      <w:pPr>
        <w:ind w:left="4093" w:hanging="361"/>
      </w:pPr>
      <w:rPr>
        <w:rFonts w:hint="default"/>
      </w:rPr>
    </w:lvl>
    <w:lvl w:ilvl="5">
      <w:numFmt w:val="bullet"/>
      <w:lvlText w:val="•"/>
      <w:lvlJc w:val="left"/>
      <w:pPr>
        <w:ind w:left="5177" w:hanging="361"/>
      </w:pPr>
      <w:rPr>
        <w:rFonts w:hint="default"/>
      </w:rPr>
    </w:lvl>
    <w:lvl w:ilvl="6">
      <w:numFmt w:val="bullet"/>
      <w:lvlText w:val="•"/>
      <w:lvlJc w:val="left"/>
      <w:pPr>
        <w:ind w:left="6262" w:hanging="361"/>
      </w:pPr>
      <w:rPr>
        <w:rFonts w:hint="default"/>
      </w:rPr>
    </w:lvl>
    <w:lvl w:ilvl="7">
      <w:numFmt w:val="bullet"/>
      <w:lvlText w:val="•"/>
      <w:lvlJc w:val="left"/>
      <w:pPr>
        <w:ind w:left="7346" w:hanging="361"/>
      </w:pPr>
      <w:rPr>
        <w:rFonts w:hint="default"/>
      </w:rPr>
    </w:lvl>
    <w:lvl w:ilvl="8">
      <w:numFmt w:val="bullet"/>
      <w:lvlText w:val="•"/>
      <w:lvlJc w:val="left"/>
      <w:pPr>
        <w:ind w:left="8431" w:hanging="361"/>
      </w:pPr>
      <w:rPr>
        <w:rFonts w:hint="default"/>
      </w:rPr>
    </w:lvl>
  </w:abstractNum>
  <w:abstractNum w:abstractNumId="1" w15:restartNumberingAfterBreak="0">
    <w:nsid w:val="0B6550A4"/>
    <w:multiLevelType w:val="hybridMultilevel"/>
    <w:tmpl w:val="D9041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67D7D"/>
    <w:multiLevelType w:val="hybridMultilevel"/>
    <w:tmpl w:val="F0E87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C4535E"/>
    <w:multiLevelType w:val="hybridMultilevel"/>
    <w:tmpl w:val="5318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02E06"/>
    <w:multiLevelType w:val="hybridMultilevel"/>
    <w:tmpl w:val="B22C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937CDF"/>
    <w:multiLevelType w:val="hybridMultilevel"/>
    <w:tmpl w:val="8DD6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36A2A"/>
    <w:multiLevelType w:val="hybridMultilevel"/>
    <w:tmpl w:val="31F6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5B15AA"/>
    <w:multiLevelType w:val="hybridMultilevel"/>
    <w:tmpl w:val="795C3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1E"/>
    <w:rsid w:val="00005C06"/>
    <w:rsid w:val="00023377"/>
    <w:rsid w:val="000271D9"/>
    <w:rsid w:val="00044598"/>
    <w:rsid w:val="0005000E"/>
    <w:rsid w:val="00061ED5"/>
    <w:rsid w:val="00083630"/>
    <w:rsid w:val="000952B5"/>
    <w:rsid w:val="000C49EF"/>
    <w:rsid w:val="00137C59"/>
    <w:rsid w:val="00142B39"/>
    <w:rsid w:val="001459F6"/>
    <w:rsid w:val="0015101A"/>
    <w:rsid w:val="001754D7"/>
    <w:rsid w:val="00187B7E"/>
    <w:rsid w:val="001A4693"/>
    <w:rsid w:val="001B7302"/>
    <w:rsid w:val="001C3355"/>
    <w:rsid w:val="0022780A"/>
    <w:rsid w:val="002343A8"/>
    <w:rsid w:val="0023478F"/>
    <w:rsid w:val="00247326"/>
    <w:rsid w:val="00252694"/>
    <w:rsid w:val="002700C7"/>
    <w:rsid w:val="002C16DE"/>
    <w:rsid w:val="002D055C"/>
    <w:rsid w:val="002D0D1D"/>
    <w:rsid w:val="003169A4"/>
    <w:rsid w:val="00332A42"/>
    <w:rsid w:val="003523BF"/>
    <w:rsid w:val="00354E3D"/>
    <w:rsid w:val="003A264E"/>
    <w:rsid w:val="003A786F"/>
    <w:rsid w:val="003E154D"/>
    <w:rsid w:val="003E1F21"/>
    <w:rsid w:val="00414CC9"/>
    <w:rsid w:val="00414EB0"/>
    <w:rsid w:val="00447B60"/>
    <w:rsid w:val="0045269B"/>
    <w:rsid w:val="00483248"/>
    <w:rsid w:val="004D2F00"/>
    <w:rsid w:val="004D6EB7"/>
    <w:rsid w:val="00506CEC"/>
    <w:rsid w:val="0052501E"/>
    <w:rsid w:val="00525891"/>
    <w:rsid w:val="00576F93"/>
    <w:rsid w:val="00581898"/>
    <w:rsid w:val="00590BA3"/>
    <w:rsid w:val="0059780A"/>
    <w:rsid w:val="005E21C3"/>
    <w:rsid w:val="005F3072"/>
    <w:rsid w:val="00614A4A"/>
    <w:rsid w:val="006243A1"/>
    <w:rsid w:val="00626193"/>
    <w:rsid w:val="006665D6"/>
    <w:rsid w:val="006748F2"/>
    <w:rsid w:val="00687059"/>
    <w:rsid w:val="00692319"/>
    <w:rsid w:val="006A7B65"/>
    <w:rsid w:val="006B3245"/>
    <w:rsid w:val="007042A1"/>
    <w:rsid w:val="00713427"/>
    <w:rsid w:val="007217B7"/>
    <w:rsid w:val="00724056"/>
    <w:rsid w:val="007246A5"/>
    <w:rsid w:val="00774889"/>
    <w:rsid w:val="00797063"/>
    <w:rsid w:val="007A0C46"/>
    <w:rsid w:val="007A7298"/>
    <w:rsid w:val="007E3194"/>
    <w:rsid w:val="00813180"/>
    <w:rsid w:val="00826C25"/>
    <w:rsid w:val="00834E53"/>
    <w:rsid w:val="0084201B"/>
    <w:rsid w:val="00846B02"/>
    <w:rsid w:val="00860BF1"/>
    <w:rsid w:val="008A2558"/>
    <w:rsid w:val="008D32E2"/>
    <w:rsid w:val="008D4989"/>
    <w:rsid w:val="009254A9"/>
    <w:rsid w:val="00937E51"/>
    <w:rsid w:val="00960B06"/>
    <w:rsid w:val="00962A45"/>
    <w:rsid w:val="00980066"/>
    <w:rsid w:val="009952BC"/>
    <w:rsid w:val="009B2AB3"/>
    <w:rsid w:val="00A0013B"/>
    <w:rsid w:val="00A11242"/>
    <w:rsid w:val="00A17D96"/>
    <w:rsid w:val="00A42A5C"/>
    <w:rsid w:val="00A44172"/>
    <w:rsid w:val="00A52073"/>
    <w:rsid w:val="00A53B36"/>
    <w:rsid w:val="00A62D9E"/>
    <w:rsid w:val="00A71757"/>
    <w:rsid w:val="00A8072B"/>
    <w:rsid w:val="00A82859"/>
    <w:rsid w:val="00A901C5"/>
    <w:rsid w:val="00AA428B"/>
    <w:rsid w:val="00AC68D1"/>
    <w:rsid w:val="00B2448D"/>
    <w:rsid w:val="00B320AB"/>
    <w:rsid w:val="00B42B5F"/>
    <w:rsid w:val="00B45326"/>
    <w:rsid w:val="00B9793A"/>
    <w:rsid w:val="00BB01DD"/>
    <w:rsid w:val="00BE07C5"/>
    <w:rsid w:val="00BE1530"/>
    <w:rsid w:val="00C17A45"/>
    <w:rsid w:val="00C31276"/>
    <w:rsid w:val="00C47371"/>
    <w:rsid w:val="00C52D37"/>
    <w:rsid w:val="00D04800"/>
    <w:rsid w:val="00D3665A"/>
    <w:rsid w:val="00D455EB"/>
    <w:rsid w:val="00D468F4"/>
    <w:rsid w:val="00D54E5F"/>
    <w:rsid w:val="00D77D96"/>
    <w:rsid w:val="00D84169"/>
    <w:rsid w:val="00DD3229"/>
    <w:rsid w:val="00DF6117"/>
    <w:rsid w:val="00E05EBE"/>
    <w:rsid w:val="00E06138"/>
    <w:rsid w:val="00E26EA4"/>
    <w:rsid w:val="00E64665"/>
    <w:rsid w:val="00E944F5"/>
    <w:rsid w:val="00EA06A8"/>
    <w:rsid w:val="00F04B9C"/>
    <w:rsid w:val="00F11D1D"/>
    <w:rsid w:val="00F55AE1"/>
    <w:rsid w:val="00F65789"/>
    <w:rsid w:val="00F717D2"/>
    <w:rsid w:val="00F77FD1"/>
    <w:rsid w:val="00F81957"/>
    <w:rsid w:val="00F867A3"/>
    <w:rsid w:val="00F96F86"/>
    <w:rsid w:val="00FA0BA4"/>
    <w:rsid w:val="00FB129E"/>
    <w:rsid w:val="00FD1134"/>
    <w:rsid w:val="00FE0546"/>
    <w:rsid w:val="00FE274A"/>
    <w:rsid w:val="00FE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37D3A4"/>
  <w15:docId w15:val="{99F130E6-CCE7-45A3-BB7A-65AABC8F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01E"/>
    <w:pPr>
      <w:spacing w:after="0" w:line="240" w:lineRule="auto"/>
    </w:pPr>
    <w:rPr>
      <w:rFonts w:ascii="Garamond" w:eastAsia="Times New Roman" w:hAnsi="Garamond"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501E"/>
    <w:pPr>
      <w:tabs>
        <w:tab w:val="center" w:pos="4320"/>
        <w:tab w:val="right" w:pos="8640"/>
      </w:tabs>
    </w:pPr>
  </w:style>
  <w:style w:type="character" w:customStyle="1" w:styleId="HeaderChar">
    <w:name w:val="Header Char"/>
    <w:basedOn w:val="DefaultParagraphFont"/>
    <w:link w:val="Header"/>
    <w:rsid w:val="0052501E"/>
    <w:rPr>
      <w:rFonts w:ascii="Garamond" w:eastAsia="Times New Roman" w:hAnsi="Garamond" w:cs="Times New Roman"/>
      <w:bCs/>
      <w:sz w:val="24"/>
      <w:szCs w:val="24"/>
    </w:rPr>
  </w:style>
  <w:style w:type="paragraph" w:styleId="Footer">
    <w:name w:val="footer"/>
    <w:basedOn w:val="Normal"/>
    <w:link w:val="FooterChar"/>
    <w:rsid w:val="0052501E"/>
    <w:pPr>
      <w:tabs>
        <w:tab w:val="center" w:pos="4320"/>
        <w:tab w:val="right" w:pos="8640"/>
      </w:tabs>
    </w:pPr>
  </w:style>
  <w:style w:type="character" w:customStyle="1" w:styleId="FooterChar">
    <w:name w:val="Footer Char"/>
    <w:basedOn w:val="DefaultParagraphFont"/>
    <w:link w:val="Footer"/>
    <w:rsid w:val="0052501E"/>
    <w:rPr>
      <w:rFonts w:ascii="Garamond" w:eastAsia="Times New Roman" w:hAnsi="Garamond" w:cs="Times New Roman"/>
      <w:bCs/>
      <w:sz w:val="24"/>
      <w:szCs w:val="24"/>
    </w:rPr>
  </w:style>
  <w:style w:type="character" w:styleId="Hyperlink">
    <w:name w:val="Hyperlink"/>
    <w:basedOn w:val="DefaultParagraphFont"/>
    <w:uiPriority w:val="99"/>
    <w:unhideWhenUsed/>
    <w:rsid w:val="0052501E"/>
    <w:rPr>
      <w:color w:val="0000FF" w:themeColor="hyperlink"/>
      <w:u w:val="single"/>
    </w:rPr>
  </w:style>
  <w:style w:type="paragraph" w:styleId="BalloonText">
    <w:name w:val="Balloon Text"/>
    <w:basedOn w:val="Normal"/>
    <w:link w:val="BalloonTextChar"/>
    <w:uiPriority w:val="99"/>
    <w:semiHidden/>
    <w:unhideWhenUsed/>
    <w:rsid w:val="0052501E"/>
    <w:rPr>
      <w:rFonts w:ascii="Tahoma" w:hAnsi="Tahoma" w:cs="Tahoma"/>
      <w:sz w:val="16"/>
      <w:szCs w:val="16"/>
    </w:rPr>
  </w:style>
  <w:style w:type="character" w:customStyle="1" w:styleId="BalloonTextChar">
    <w:name w:val="Balloon Text Char"/>
    <w:basedOn w:val="DefaultParagraphFont"/>
    <w:link w:val="BalloonText"/>
    <w:uiPriority w:val="99"/>
    <w:semiHidden/>
    <w:rsid w:val="0052501E"/>
    <w:rPr>
      <w:rFonts w:ascii="Tahoma" w:eastAsia="Times New Roman" w:hAnsi="Tahoma" w:cs="Tahoma"/>
      <w:bCs/>
      <w:sz w:val="16"/>
      <w:szCs w:val="16"/>
    </w:rPr>
  </w:style>
  <w:style w:type="paragraph" w:customStyle="1" w:styleId="Default">
    <w:name w:val="Default"/>
    <w:rsid w:val="001C3355"/>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7217B7"/>
    <w:rPr>
      <w:sz w:val="16"/>
      <w:szCs w:val="16"/>
    </w:rPr>
  </w:style>
  <w:style w:type="paragraph" w:styleId="CommentText">
    <w:name w:val="annotation text"/>
    <w:basedOn w:val="Normal"/>
    <w:link w:val="CommentTextChar"/>
    <w:uiPriority w:val="99"/>
    <w:semiHidden/>
    <w:unhideWhenUsed/>
    <w:rsid w:val="007217B7"/>
    <w:rPr>
      <w:sz w:val="20"/>
      <w:szCs w:val="20"/>
    </w:rPr>
  </w:style>
  <w:style w:type="character" w:customStyle="1" w:styleId="CommentTextChar">
    <w:name w:val="Comment Text Char"/>
    <w:basedOn w:val="DefaultParagraphFont"/>
    <w:link w:val="CommentText"/>
    <w:uiPriority w:val="99"/>
    <w:semiHidden/>
    <w:rsid w:val="007217B7"/>
    <w:rPr>
      <w:rFonts w:ascii="Garamond" w:eastAsia="Times New Roman" w:hAnsi="Garamond" w:cs="Times New Roman"/>
      <w:bCs/>
      <w:sz w:val="20"/>
      <w:szCs w:val="20"/>
    </w:rPr>
  </w:style>
  <w:style w:type="paragraph" w:styleId="CommentSubject">
    <w:name w:val="annotation subject"/>
    <w:basedOn w:val="CommentText"/>
    <w:next w:val="CommentText"/>
    <w:link w:val="CommentSubjectChar"/>
    <w:uiPriority w:val="99"/>
    <w:semiHidden/>
    <w:unhideWhenUsed/>
    <w:rsid w:val="007217B7"/>
    <w:rPr>
      <w:b/>
    </w:rPr>
  </w:style>
  <w:style w:type="character" w:customStyle="1" w:styleId="CommentSubjectChar">
    <w:name w:val="Comment Subject Char"/>
    <w:basedOn w:val="CommentTextChar"/>
    <w:link w:val="CommentSubject"/>
    <w:uiPriority w:val="99"/>
    <w:semiHidden/>
    <w:rsid w:val="007217B7"/>
    <w:rPr>
      <w:rFonts w:ascii="Garamond" w:eastAsia="Times New Roman" w:hAnsi="Garamond" w:cs="Times New Roman"/>
      <w:b/>
      <w:bCs/>
      <w:sz w:val="20"/>
      <w:szCs w:val="20"/>
    </w:rPr>
  </w:style>
  <w:style w:type="paragraph" w:styleId="NormalWeb">
    <w:name w:val="Normal (Web)"/>
    <w:basedOn w:val="Normal"/>
    <w:uiPriority w:val="99"/>
    <w:unhideWhenUsed/>
    <w:rsid w:val="00F04B9C"/>
    <w:pPr>
      <w:spacing w:before="100" w:beforeAutospacing="1" w:after="100" w:afterAutospacing="1"/>
    </w:pPr>
    <w:rPr>
      <w:rFonts w:ascii="Times New Roman" w:hAnsi="Times New Roman"/>
      <w:bCs w:val="0"/>
    </w:rPr>
  </w:style>
  <w:style w:type="paragraph" w:styleId="FootnoteText">
    <w:name w:val="footnote text"/>
    <w:basedOn w:val="Normal"/>
    <w:link w:val="FootnoteTextChar"/>
    <w:unhideWhenUsed/>
    <w:rsid w:val="00F04B9C"/>
    <w:rPr>
      <w:sz w:val="20"/>
      <w:szCs w:val="20"/>
    </w:rPr>
  </w:style>
  <w:style w:type="character" w:customStyle="1" w:styleId="FootnoteTextChar">
    <w:name w:val="Footnote Text Char"/>
    <w:basedOn w:val="DefaultParagraphFont"/>
    <w:link w:val="FootnoteText"/>
    <w:rsid w:val="00F04B9C"/>
    <w:rPr>
      <w:rFonts w:ascii="Garamond" w:eastAsia="Times New Roman" w:hAnsi="Garamond" w:cs="Times New Roman"/>
      <w:bCs/>
      <w:sz w:val="20"/>
      <w:szCs w:val="20"/>
    </w:rPr>
  </w:style>
  <w:style w:type="character" w:styleId="FootnoteReference">
    <w:name w:val="footnote reference"/>
    <w:basedOn w:val="DefaultParagraphFont"/>
    <w:unhideWhenUsed/>
    <w:rsid w:val="00F04B9C"/>
    <w:rPr>
      <w:vertAlign w:val="superscript"/>
    </w:rPr>
  </w:style>
  <w:style w:type="paragraph" w:styleId="ListParagraph">
    <w:name w:val="List Paragraph"/>
    <w:basedOn w:val="Normal"/>
    <w:uiPriority w:val="34"/>
    <w:qFormat/>
    <w:rsid w:val="00F04B9C"/>
    <w:pPr>
      <w:ind w:left="720"/>
      <w:contextualSpacing/>
    </w:pPr>
  </w:style>
  <w:style w:type="character" w:styleId="FollowedHyperlink">
    <w:name w:val="FollowedHyperlink"/>
    <w:basedOn w:val="DefaultParagraphFont"/>
    <w:uiPriority w:val="99"/>
    <w:semiHidden/>
    <w:unhideWhenUsed/>
    <w:rsid w:val="00AC68D1"/>
    <w:rPr>
      <w:color w:val="800080" w:themeColor="followedHyperlink"/>
      <w:u w:val="single"/>
    </w:rPr>
  </w:style>
  <w:style w:type="character" w:customStyle="1" w:styleId="UnresolvedMention1">
    <w:name w:val="Unresolved Mention1"/>
    <w:basedOn w:val="DefaultParagraphFont"/>
    <w:uiPriority w:val="99"/>
    <w:semiHidden/>
    <w:unhideWhenUsed/>
    <w:rsid w:val="00860BF1"/>
    <w:rPr>
      <w:color w:val="605E5C"/>
      <w:shd w:val="clear" w:color="auto" w:fill="E1DFDD"/>
    </w:rPr>
  </w:style>
  <w:style w:type="character" w:styleId="UnresolvedMention">
    <w:name w:val="Unresolved Mention"/>
    <w:basedOn w:val="DefaultParagraphFont"/>
    <w:uiPriority w:val="99"/>
    <w:semiHidden/>
    <w:unhideWhenUsed/>
    <w:rsid w:val="00A1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a.gov/vhapublications/ViewPublication.asp?pub_ID=879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llnursingschools.com/nurse-anesthetist/" TargetMode="External"/><Relationship Id="rId1" Type="http://schemas.openxmlformats.org/officeDocument/2006/relationships/hyperlink" Target="https://www.ama-assn.org/practice-management/payment-delivery-models/physician-led-team-base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DC46-2733-4B34-A63E-C11F35AB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Raine</dc:creator>
  <cp:lastModifiedBy>Pugach, David</cp:lastModifiedBy>
  <cp:revision>4</cp:revision>
  <cp:lastPrinted>2017-05-11T21:11:00Z</cp:lastPrinted>
  <dcterms:created xsi:type="dcterms:W3CDTF">2020-06-18T17:07:00Z</dcterms:created>
  <dcterms:modified xsi:type="dcterms:W3CDTF">2020-06-18T17:08:00Z</dcterms:modified>
</cp:coreProperties>
</file>